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附件一</w:t>
      </w:r>
    </w:p>
    <w:p>
      <w:pPr>
        <w:jc w:val="center"/>
        <w:outlineLvl w:val="1"/>
        <w:rPr>
          <w:rFonts w:hint="eastAsia" w:ascii="仿宋" w:hAnsi="仿宋" w:eastAsia="仿宋" w:cs="仿宋"/>
          <w:sz w:val="32"/>
          <w:szCs w:val="32"/>
        </w:rPr>
      </w:pPr>
      <w:bookmarkStart w:id="0" w:name="_GoBack"/>
      <w:r>
        <w:rPr>
          <w:rFonts w:hint="eastAsia"/>
          <w:b/>
          <w:bCs/>
          <w:sz w:val="44"/>
          <w:szCs w:val="44"/>
        </w:rPr>
        <w:t>市市场监管局划转行政执法事项（</w:t>
      </w:r>
      <w:r>
        <w:rPr>
          <w:rFonts w:hint="eastAsia"/>
          <w:b/>
          <w:bCs/>
          <w:sz w:val="44"/>
          <w:szCs w:val="44"/>
          <w:lang w:val="en-US" w:eastAsia="zh-CN"/>
        </w:rPr>
        <w:t>省统一目录</w:t>
      </w:r>
      <w:r>
        <w:rPr>
          <w:rFonts w:hint="eastAsia"/>
          <w:b/>
          <w:bCs/>
          <w:sz w:val="44"/>
          <w:szCs w:val="44"/>
        </w:rPr>
        <w:t>）</w:t>
      </w:r>
      <w:bookmarkEnd w:id="0"/>
    </w:p>
    <w:p>
      <w:pPr>
        <w:rPr>
          <w:rFonts w:hint="eastAsia" w:ascii="仿宋" w:hAnsi="仿宋" w:eastAsia="仿宋" w:cs="仿宋"/>
          <w:sz w:val="32"/>
          <w:szCs w:val="32"/>
        </w:rPr>
      </w:pPr>
    </w:p>
    <w:tbl>
      <w:tblPr>
        <w:tblStyle w:val="4"/>
        <w:tblW w:w="14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814"/>
        <w:gridCol w:w="1045"/>
        <w:gridCol w:w="1677"/>
        <w:gridCol w:w="2229"/>
        <w:gridCol w:w="528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662" w:type="dxa"/>
            <w:noWrap w:val="0"/>
            <w:vAlign w:val="center"/>
          </w:tcPr>
          <w:p>
            <w:pPr>
              <w:spacing w:line="320" w:lineRule="exact"/>
              <w:jc w:val="center"/>
              <w:rPr>
                <w:rFonts w:ascii="楷体_GB2312" w:hAnsi="华文仿宋" w:eastAsia="楷体_GB2312" w:cs="华文仿宋"/>
                <w:b/>
                <w:sz w:val="32"/>
                <w:szCs w:val="32"/>
              </w:rPr>
            </w:pPr>
            <w:r>
              <w:rPr>
                <w:rFonts w:hint="eastAsia" w:ascii="楷体_GB2312" w:hAnsi="华文仿宋" w:eastAsia="楷体_GB2312" w:cs="华文仿宋"/>
                <w:b/>
                <w:sz w:val="32"/>
                <w:szCs w:val="32"/>
              </w:rPr>
              <w:t>序号</w:t>
            </w:r>
          </w:p>
        </w:tc>
        <w:tc>
          <w:tcPr>
            <w:tcW w:w="814" w:type="dxa"/>
            <w:noWrap w:val="0"/>
            <w:vAlign w:val="center"/>
          </w:tcPr>
          <w:p>
            <w:pPr>
              <w:spacing w:line="320" w:lineRule="exact"/>
              <w:jc w:val="center"/>
              <w:rPr>
                <w:rFonts w:ascii="楷体_GB2312" w:hAnsi="华文仿宋" w:eastAsia="楷体_GB2312" w:cs="华文仿宋"/>
                <w:b/>
                <w:sz w:val="32"/>
                <w:szCs w:val="32"/>
              </w:rPr>
            </w:pPr>
            <w:r>
              <w:rPr>
                <w:rFonts w:hint="eastAsia" w:ascii="楷体_GB2312" w:hAnsi="华文仿宋" w:eastAsia="楷体_GB2312" w:cs="华文仿宋"/>
                <w:b/>
                <w:sz w:val="32"/>
                <w:szCs w:val="32"/>
              </w:rPr>
              <w:t>方面</w:t>
            </w:r>
          </w:p>
        </w:tc>
        <w:tc>
          <w:tcPr>
            <w:tcW w:w="1045" w:type="dxa"/>
            <w:noWrap w:val="0"/>
            <w:vAlign w:val="center"/>
          </w:tcPr>
          <w:p>
            <w:pPr>
              <w:spacing w:line="320" w:lineRule="exact"/>
              <w:jc w:val="center"/>
              <w:rPr>
                <w:rFonts w:ascii="楷体_GB2312" w:hAnsi="华文仿宋" w:eastAsia="楷体_GB2312" w:cs="华文仿宋"/>
                <w:b/>
                <w:sz w:val="32"/>
                <w:szCs w:val="32"/>
              </w:rPr>
            </w:pPr>
            <w:r>
              <w:rPr>
                <w:rFonts w:hint="eastAsia" w:ascii="楷体_GB2312" w:hAnsi="华文仿宋" w:eastAsia="楷体_GB2312" w:cs="华文仿宋"/>
                <w:b/>
                <w:sz w:val="32"/>
                <w:szCs w:val="32"/>
              </w:rPr>
              <w:t>事项代码</w:t>
            </w:r>
          </w:p>
        </w:tc>
        <w:tc>
          <w:tcPr>
            <w:tcW w:w="1677" w:type="dxa"/>
            <w:noWrap w:val="0"/>
            <w:vAlign w:val="center"/>
          </w:tcPr>
          <w:p>
            <w:pPr>
              <w:spacing w:line="320" w:lineRule="exact"/>
              <w:jc w:val="center"/>
              <w:rPr>
                <w:rFonts w:ascii="楷体_GB2312" w:hAnsi="华文仿宋" w:eastAsia="楷体_GB2312" w:cs="华文仿宋"/>
                <w:b/>
                <w:sz w:val="32"/>
                <w:szCs w:val="32"/>
              </w:rPr>
            </w:pPr>
            <w:r>
              <w:rPr>
                <w:rFonts w:hint="eastAsia" w:ascii="楷体_GB2312" w:hAnsi="华文仿宋" w:eastAsia="楷体_GB2312" w:cs="华文仿宋"/>
                <w:b/>
                <w:sz w:val="32"/>
                <w:szCs w:val="32"/>
              </w:rPr>
              <w:t>事项主项</w:t>
            </w:r>
          </w:p>
          <w:p>
            <w:pPr>
              <w:spacing w:line="320" w:lineRule="exact"/>
              <w:jc w:val="center"/>
              <w:rPr>
                <w:rFonts w:ascii="楷体_GB2312" w:hAnsi="华文仿宋" w:eastAsia="楷体_GB2312" w:cs="华文仿宋"/>
                <w:b/>
                <w:sz w:val="32"/>
                <w:szCs w:val="32"/>
              </w:rPr>
            </w:pPr>
            <w:r>
              <w:rPr>
                <w:rFonts w:hint="eastAsia" w:ascii="楷体_GB2312" w:hAnsi="华文仿宋" w:eastAsia="楷体_GB2312" w:cs="华文仿宋"/>
                <w:b/>
                <w:sz w:val="32"/>
                <w:szCs w:val="32"/>
              </w:rPr>
              <w:t>名称</w:t>
            </w:r>
          </w:p>
        </w:tc>
        <w:tc>
          <w:tcPr>
            <w:tcW w:w="2229" w:type="dxa"/>
            <w:noWrap w:val="0"/>
            <w:vAlign w:val="center"/>
          </w:tcPr>
          <w:p>
            <w:pPr>
              <w:spacing w:line="320" w:lineRule="exact"/>
              <w:jc w:val="center"/>
              <w:rPr>
                <w:rFonts w:ascii="楷体_GB2312" w:hAnsi="华文仿宋" w:eastAsia="楷体_GB2312" w:cs="华文仿宋"/>
                <w:b/>
                <w:sz w:val="32"/>
                <w:szCs w:val="32"/>
              </w:rPr>
            </w:pPr>
            <w:r>
              <w:rPr>
                <w:rFonts w:hint="eastAsia" w:ascii="楷体_GB2312" w:hAnsi="华文仿宋" w:eastAsia="楷体_GB2312" w:cs="华文仿宋"/>
                <w:b/>
                <w:sz w:val="32"/>
                <w:szCs w:val="32"/>
              </w:rPr>
              <w:t>具体划转</w:t>
            </w:r>
          </w:p>
          <w:p>
            <w:pPr>
              <w:spacing w:line="320" w:lineRule="exact"/>
              <w:jc w:val="center"/>
              <w:rPr>
                <w:rFonts w:ascii="楷体_GB2312" w:hAnsi="华文仿宋" w:eastAsia="楷体_GB2312" w:cs="华文仿宋"/>
                <w:b/>
                <w:sz w:val="32"/>
                <w:szCs w:val="32"/>
              </w:rPr>
            </w:pPr>
            <w:r>
              <w:rPr>
                <w:rFonts w:hint="eastAsia" w:ascii="楷体_GB2312" w:hAnsi="华文仿宋" w:eastAsia="楷体_GB2312" w:cs="华文仿宋"/>
                <w:b/>
                <w:sz w:val="32"/>
                <w:szCs w:val="32"/>
              </w:rPr>
              <w:t>执法事项</w:t>
            </w:r>
          </w:p>
        </w:tc>
        <w:tc>
          <w:tcPr>
            <w:tcW w:w="5280" w:type="dxa"/>
            <w:noWrap w:val="0"/>
            <w:vAlign w:val="center"/>
          </w:tcPr>
          <w:p>
            <w:pPr>
              <w:spacing w:line="320" w:lineRule="exact"/>
              <w:jc w:val="center"/>
              <w:rPr>
                <w:rFonts w:ascii="楷体_GB2312" w:hAnsi="华文仿宋" w:eastAsia="楷体_GB2312" w:cs="华文仿宋"/>
                <w:b/>
                <w:sz w:val="32"/>
                <w:szCs w:val="32"/>
              </w:rPr>
            </w:pPr>
            <w:r>
              <w:rPr>
                <w:rFonts w:hint="eastAsia" w:ascii="楷体_GB2312" w:hAnsi="华文仿宋" w:eastAsia="楷体_GB2312" w:cs="华文仿宋"/>
                <w:b/>
                <w:sz w:val="32"/>
                <w:szCs w:val="32"/>
              </w:rPr>
              <w:t>职责边界清单</w:t>
            </w:r>
          </w:p>
        </w:tc>
        <w:tc>
          <w:tcPr>
            <w:tcW w:w="2490" w:type="dxa"/>
            <w:noWrap w:val="0"/>
            <w:vAlign w:val="center"/>
          </w:tcPr>
          <w:p>
            <w:pPr>
              <w:spacing w:line="320" w:lineRule="exact"/>
              <w:jc w:val="center"/>
              <w:rPr>
                <w:rFonts w:ascii="楷体_GB2312" w:hAnsi="华文仿宋" w:eastAsia="楷体_GB2312" w:cs="华文仿宋"/>
                <w:b/>
                <w:sz w:val="32"/>
                <w:szCs w:val="32"/>
              </w:rPr>
            </w:pPr>
            <w:r>
              <w:rPr>
                <w:rFonts w:hint="eastAsia" w:ascii="楷体_GB2312" w:hAnsi="华文仿宋" w:eastAsia="楷体_GB2312" w:cs="华文仿宋"/>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7" w:hRule="atLeast"/>
        </w:trPr>
        <w:tc>
          <w:tcPr>
            <w:tcW w:w="662" w:type="dxa"/>
            <w:noWrap w:val="0"/>
            <w:vAlign w:val="center"/>
          </w:tcPr>
          <w:p>
            <w:pPr>
              <w:overflowPunct w:val="0"/>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w:t>
            </w:r>
          </w:p>
        </w:tc>
        <w:tc>
          <w:tcPr>
            <w:tcW w:w="814" w:type="dxa"/>
            <w:noWrap w:val="0"/>
            <w:vAlign w:val="center"/>
          </w:tcPr>
          <w:p>
            <w:pPr>
              <w:keepNext w:val="0"/>
              <w:keepLines w:val="0"/>
              <w:widowControl/>
              <w:suppressLineNumbers w:val="0"/>
              <w:jc w:val="left"/>
              <w:textAlignment w:val="center"/>
              <w:rPr>
                <w:rFonts w:ascii="仿宋_GB2312" w:hAnsi="仿宋_GB2312" w:eastAsia="仿宋_GB2312" w:cs="仿宋_GB2312"/>
                <w:sz w:val="24"/>
              </w:rPr>
            </w:pPr>
            <w:r>
              <w:rPr>
                <w:rFonts w:hint="eastAsia" w:ascii="仿宋_GB2312" w:hAnsi="仿宋_GB2312" w:eastAsia="仿宋_GB2312" w:cs="仿宋_GB2312"/>
                <w:i w:val="0"/>
                <w:color w:val="000000"/>
                <w:kern w:val="0"/>
                <w:sz w:val="24"/>
                <w:szCs w:val="24"/>
                <w:u w:val="none"/>
                <w:lang w:val="en-US" w:eastAsia="zh-CN" w:bidi="ar"/>
              </w:rPr>
              <w:t>室外公共场所无照经营</w:t>
            </w:r>
          </w:p>
        </w:tc>
        <w:tc>
          <w:tcPr>
            <w:tcW w:w="1045" w:type="dxa"/>
            <w:noWrap w:val="0"/>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仿宋_GB2312" w:eastAsia="仿宋_GB2312" w:cs="仿宋_GB2312"/>
                <w:i w:val="0"/>
                <w:color w:val="000000"/>
                <w:kern w:val="0"/>
                <w:sz w:val="24"/>
                <w:szCs w:val="24"/>
                <w:u w:val="none"/>
                <w:lang w:val="en-US" w:eastAsia="zh-CN" w:bidi="ar"/>
              </w:rPr>
              <w:t>处罚-02107-000</w:t>
            </w:r>
          </w:p>
        </w:tc>
        <w:tc>
          <w:tcPr>
            <w:tcW w:w="1677" w:type="dxa"/>
            <w:noWrap w:val="0"/>
            <w:vAlign w:val="center"/>
          </w:tcPr>
          <w:p>
            <w:pPr>
              <w:keepNext w:val="0"/>
              <w:keepLines w:val="0"/>
              <w:widowControl/>
              <w:suppressLineNumbers w:val="0"/>
              <w:jc w:val="left"/>
              <w:textAlignment w:val="center"/>
              <w:rPr>
                <w:rFonts w:ascii="仿宋_GB2312" w:hAnsi="仿宋_GB2312" w:eastAsia="仿宋_GB2312" w:cs="仿宋_GB2312"/>
                <w:sz w:val="24"/>
              </w:rPr>
            </w:pPr>
            <w:r>
              <w:rPr>
                <w:rFonts w:hint="eastAsia" w:ascii="仿宋_GB2312" w:hAnsi="仿宋_GB2312" w:eastAsia="仿宋_GB2312" w:cs="仿宋_GB2312"/>
                <w:i w:val="0"/>
                <w:color w:val="000000"/>
                <w:kern w:val="0"/>
                <w:sz w:val="24"/>
                <w:szCs w:val="24"/>
                <w:u w:val="none"/>
                <w:lang w:val="en-US" w:eastAsia="zh-CN" w:bidi="ar"/>
              </w:rPr>
              <w:t>无照经营行为的处罚</w:t>
            </w:r>
          </w:p>
        </w:tc>
        <w:tc>
          <w:tcPr>
            <w:tcW w:w="2229" w:type="dxa"/>
            <w:noWrap w:val="0"/>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仿宋_GB2312" w:eastAsia="仿宋_GB2312" w:cs="仿宋_GB2312"/>
                <w:i w:val="0"/>
                <w:color w:val="000000"/>
                <w:kern w:val="0"/>
                <w:sz w:val="24"/>
                <w:szCs w:val="24"/>
                <w:u w:val="none"/>
                <w:lang w:val="en-US" w:eastAsia="zh-CN" w:bidi="ar"/>
              </w:rPr>
              <w:t>部分（划转室外公共场所无照经营的处罚）</w:t>
            </w:r>
          </w:p>
        </w:tc>
        <w:tc>
          <w:tcPr>
            <w:tcW w:w="5280" w:type="dxa"/>
            <w:noWrap w:val="0"/>
            <w:vAlign w:val="center"/>
          </w:tcPr>
          <w:p>
            <w:pPr>
              <w:overflowPunct w:val="0"/>
              <w:adjustRightInd w:val="0"/>
              <w:snapToGrid w:val="0"/>
              <w:ind w:firstLine="480" w:firstLineChars="200"/>
              <w:textAlignment w:val="center"/>
              <w:rPr>
                <w:rFonts w:ascii="仿宋_GB2312" w:hAnsi="仿宋_GB2312" w:eastAsia="仿宋_GB2312" w:cs="仿宋_GB2312"/>
                <w:sz w:val="24"/>
              </w:rPr>
            </w:pPr>
            <w:r>
              <w:rPr>
                <w:rFonts w:hint="eastAsia" w:ascii="仿宋_GB2312" w:hAnsi="仿宋_GB2312" w:eastAsia="仿宋_GB2312" w:cs="仿宋_GB2312"/>
                <w:i w:val="0"/>
                <w:color w:val="000000"/>
                <w:kern w:val="0"/>
                <w:sz w:val="24"/>
                <w:szCs w:val="24"/>
                <w:u w:val="none"/>
                <w:lang w:val="en-US" w:eastAsia="zh-CN" w:bidi="ar"/>
              </w:rPr>
              <w:t>1.丽水市综合行政执法局加强日常巡查，受理投诉、举报；发现室外公共场所无照经营行为的,及时制止和查处，并将处理结果反馈丽水市市场监督管理局。</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    2.丽水市市场监督管理局负责各类经营行为的管理，发现室外公共场所无照经营违法线索的，及时告知丽水市综合行政执法局。丽水市综合行政执法局按程序办理并将处理结果反馈丽水市市场监督管理局。</w:t>
            </w:r>
          </w:p>
        </w:tc>
        <w:tc>
          <w:tcPr>
            <w:tcW w:w="2490" w:type="dxa"/>
            <w:noWrap w:val="0"/>
            <w:vAlign w:val="top"/>
          </w:tcPr>
          <w:p>
            <w:pPr>
              <w:overflowPunct w:val="0"/>
              <w:adjustRightInd w:val="0"/>
              <w:snapToGrid w:val="0"/>
              <w:ind w:firstLine="480" w:firstLineChars="200"/>
              <w:textAlignment w:val="center"/>
              <w:rPr>
                <w:rFonts w:ascii="仿宋_GB2312" w:hAnsi="仿宋_GB2312" w:eastAsia="仿宋_GB2312" w:cs="仿宋_GB2312"/>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FB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2020-12-03T06:12:31Z</dcterms:created>
  <dc:creator>Administrator</dc:creator>
  <cp:lastModifiedBy>Administrator</cp:lastModifiedBy>
  <dcterms:modified xsi:type="dcterms:W3CDTF">2020-12-03T06:13:10Z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