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82" w:firstLineChars="405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不合格项目解读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甲氨基阿维菌素苯甲酸盐</w:t>
      </w:r>
    </w:p>
    <w:p>
      <w:pPr>
        <w:spacing w:line="594" w:lineRule="exact"/>
        <w:ind w:firstLine="640" w:firstLineChars="200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</w:rPr>
        <w:t>甲氨基阿维菌素苯甲酸盐是一种大环内酯类杀虫剂，具有触杀、胃毒和组织渗透作用，对豇豆中蓟马、豆荚螟等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ascii="Times New Roman" w:hAnsi="Times New Roman" w:eastAsia="仿宋_GB2312"/>
          <w:sz w:val="32"/>
          <w:szCs w:val="32"/>
        </w:rPr>
        <w:t>。少量的残留不会引起人体急性中毒，但长期食用</w:t>
      </w:r>
      <w:r>
        <w:rPr>
          <w:rFonts w:hint="eastAsia" w:ascii="Times New Roman" w:hAnsi="Times New Roman" w:eastAsia="仿宋_GB2312"/>
          <w:sz w:val="32"/>
          <w:szCs w:val="32"/>
        </w:rPr>
        <w:t>甲氨基阿维菌素苯甲酸盐</w:t>
      </w:r>
      <w:r>
        <w:rPr>
          <w:rFonts w:ascii="Times New Roman" w:hAnsi="Times New Roman" w:eastAsia="仿宋_GB2312"/>
          <w:sz w:val="32"/>
          <w:szCs w:val="32"/>
        </w:rPr>
        <w:t>超标的食品，对人体健康可能有一定影响。《食品安全国家标准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2019）中规定，</w:t>
      </w:r>
      <w:r>
        <w:rPr>
          <w:rFonts w:hint="eastAsia" w:ascii="Times New Roman" w:hAnsi="Times New Roman" w:eastAsia="仿宋_GB2312"/>
          <w:sz w:val="32"/>
          <w:szCs w:val="32"/>
        </w:rPr>
        <w:t>甲氨基阿维菌素苯甲酸盐</w:t>
      </w:r>
      <w:r>
        <w:rPr>
          <w:rFonts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</w:rPr>
        <w:t>豆类蔬菜</w:t>
      </w:r>
      <w:r>
        <w:rPr>
          <w:rFonts w:ascii="Times New Roman" w:hAnsi="Times New Roman" w:eastAsia="仿宋_GB2312"/>
          <w:sz w:val="32"/>
          <w:szCs w:val="32"/>
        </w:rPr>
        <w:t>中的最大残留限量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0.015</w:t>
      </w:r>
      <w:r>
        <w:rPr>
          <w:rFonts w:ascii="Times New Roman" w:hAnsi="Times New Roman" w:eastAsia="仿宋_GB2312"/>
          <w:sz w:val="32"/>
          <w:szCs w:val="32"/>
        </w:rPr>
        <w:t>mg/kg。</w:t>
      </w:r>
      <w:r>
        <w:rPr>
          <w:rFonts w:hint="eastAsia" w:ascii="Times New Roman" w:hAnsi="Times New Roman" w:eastAsia="仿宋_GB2312"/>
          <w:sz w:val="32"/>
          <w:szCs w:val="32"/>
        </w:rPr>
        <w:t>豇豆中甲氨基阿维菌素苯甲酸盐</w:t>
      </w:r>
      <w:r>
        <w:rPr>
          <w:rFonts w:hint="eastAsia" w:ascii="仿宋_GB2312" w:eastAsia="仿宋_GB2312"/>
          <w:sz w:val="32"/>
          <w:szCs w:val="32"/>
        </w:rPr>
        <w:t>残留量</w:t>
      </w:r>
      <w:r>
        <w:rPr>
          <w:rFonts w:ascii="Times New Roman" w:hAnsi="Times New Roman" w:eastAsia="仿宋_GB2312"/>
          <w:sz w:val="32"/>
          <w:szCs w:val="32"/>
        </w:rPr>
        <w:t>超标的原因</w:t>
      </w:r>
      <w:r>
        <w:rPr>
          <w:rFonts w:hint="eastAsia" w:ascii="Times New Roman" w:hAnsi="Times New Roman" w:eastAsia="仿宋_GB2312"/>
          <w:sz w:val="32"/>
          <w:szCs w:val="32"/>
        </w:rPr>
        <w:t>，可能是为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="640" w:leftChars="0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二、恩诺沙星</w:t>
      </w:r>
    </w:p>
    <w:p>
      <w:pPr>
        <w:ind w:firstLine="640" w:firstLineChars="200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恩诺沙星属于氟喹诺酮类药物，是一类人工合成的广谱抗菌药，用于治疗动物的皮肤感染、呼吸道感染等，是动物专属用药。《食品安全国家标准 食品中兽药最大残留限量》（GB 31650-2019）中规定，恩诺沙星在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梭子蟹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中的最高残留限量为100μg/kg。长期食用恩诺沙星残留超标的食品，对人体健康有一定影响。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三、镉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镉是最常见的重金属元素污染物之一。镉对人体具有慢性蓄积性的危害，长期摄入镉含量超标的食品，可能引起肾脏和骨骼损伤等健康危害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《食品安全国家标准 食品中污染物限量》（GB 2762-2017）中规定，镉在鲜、冻水产动物（甲壳类）中最大限量值为0.5mg/kg。</w:t>
      </w:r>
      <w:r>
        <w:rPr>
          <w:rFonts w:hint="eastAsia" w:ascii="仿宋_GB2312" w:eastAsia="仿宋_GB2312"/>
          <w:sz w:val="32"/>
          <w:szCs w:val="32"/>
          <w:lang w:eastAsia="zh-CN"/>
        </w:rPr>
        <w:t>梭子蟹</w:t>
      </w:r>
      <w:r>
        <w:rPr>
          <w:rFonts w:hint="eastAsia" w:ascii="仿宋_GB2312" w:eastAsia="仿宋_GB2312"/>
          <w:sz w:val="32"/>
          <w:szCs w:val="32"/>
        </w:rPr>
        <w:t>中重金属镉超标的原因，可能是在生长过程中富集了环境中的镉元素。</w:t>
      </w:r>
    </w:p>
    <w:p>
      <w:pPr>
        <w:numPr>
          <w:numId w:val="0"/>
        </w:numPr>
        <w:ind w:left="1120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四、酸价</w:t>
      </w:r>
    </w:p>
    <w:p>
      <w:pPr>
        <w:spacing w:line="594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酸价主要反映食品中油脂的酸败程度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，食品中酸价超标会产生哈喇味。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《食品安全国家标准糕点、面包》（GB 7099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2015）中规定，酸价（以脂肪计）在糕点中最大限量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为5mg/g。糕点中酸价超标的原因，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可能是生产企业原料采购把关不严、生产工艺不达标、产品储藏运输条件不当等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食用</w:t>
      </w:r>
      <w:r>
        <w:rPr>
          <w:rFonts w:ascii="Times New Roman" w:hAnsi="Times New Roman" w:eastAsia="仿宋_GB2312" w:cs="Times New Roman"/>
          <w:sz w:val="32"/>
          <w:szCs w:val="32"/>
        </w:rPr>
        <w:t>酸价超标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的食品，可能引起</w:t>
      </w:r>
      <w:r>
        <w:rPr>
          <w:rFonts w:ascii="Times New Roman" w:hAnsi="Times New Roman" w:eastAsia="仿宋_GB2312" w:cs="Times New Roman"/>
          <w:sz w:val="32"/>
          <w:szCs w:val="32"/>
        </w:rPr>
        <w:t>肠胃不适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等症状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numId w:val="0"/>
        </w:numPr>
        <w:ind w:left="1120"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水分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水分是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代用茶</w:t>
      </w:r>
      <w:r>
        <w:rPr>
          <w:rFonts w:ascii="Times New Roman" w:hAnsi="Times New Roman" w:eastAsia="仿宋_GB2312"/>
          <w:sz w:val="32"/>
          <w:szCs w:val="32"/>
        </w:rPr>
        <w:t>的质量指标，其与产品质量稳定性、微生物的生长条件均有密切的关系。</w:t>
      </w:r>
      <w:r>
        <w:rPr>
          <w:rFonts w:hint="eastAsia" w:ascii="Times New Roman" w:hAnsi="Times New Roman" w:eastAsia="仿宋_GB2312"/>
          <w:sz w:val="32"/>
          <w:szCs w:val="32"/>
        </w:rPr>
        <w:t>水分控制不当，可能导致产品的功效成分或营养物质分解、酶解变质、霉变等，影响产品质量。《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代用茶</w:t>
      </w:r>
      <w:r>
        <w:rPr>
          <w:rFonts w:hint="eastAsia" w:ascii="Times New Roman" w:hAnsi="Times New Roman" w:eastAsia="仿宋_GB2312"/>
          <w:sz w:val="32"/>
          <w:szCs w:val="32"/>
        </w:rPr>
        <w:t>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GH</w:t>
      </w:r>
      <w:r>
        <w:rPr>
          <w:rFonts w:hint="eastAsia" w:ascii="Times New Roman" w:hAnsi="Times New Roman" w:eastAsia="仿宋_GB2312"/>
          <w:sz w:val="32"/>
          <w:szCs w:val="32"/>
        </w:rPr>
        <w:t>/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T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1091</w:t>
      </w:r>
      <w:r>
        <w:rPr>
          <w:rFonts w:hint="eastAsia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）中</w:t>
      </w:r>
      <w:r>
        <w:rPr>
          <w:rFonts w:ascii="Times New Roman" w:hAnsi="Times New Roman" w:eastAsia="仿宋_GB2312"/>
          <w:sz w:val="32"/>
          <w:szCs w:val="32"/>
        </w:rPr>
        <w:t>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水分含量</w:t>
      </w:r>
      <w:r>
        <w:rPr>
          <w:rFonts w:hint="eastAsia" w:ascii="Times New Roman" w:hAnsi="Times New Roman" w:eastAsia="仿宋_GB2312"/>
          <w:sz w:val="32"/>
          <w:szCs w:val="32"/>
        </w:rPr>
        <w:t>不得超过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代用茶</w:t>
      </w:r>
      <w:r>
        <w:rPr>
          <w:rFonts w:hint="eastAsia" w:ascii="Times New Roman" w:hAnsi="Times New Roman" w:eastAsia="仿宋_GB2312"/>
          <w:sz w:val="32"/>
          <w:szCs w:val="32"/>
        </w:rPr>
        <w:t>中水分含量超标的原因，可能是产品在生产过程中环境控制不到位，也可能与储运过程条件不当有关。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F8A67"/>
    <w:multiLevelType w:val="singleLevel"/>
    <w:tmpl w:val="BDBF8A67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D164B"/>
    <w:rsid w:val="1900364F"/>
    <w:rsid w:val="46FD274B"/>
    <w:rsid w:val="5F75FE85"/>
    <w:rsid w:val="6FFFE35B"/>
    <w:rsid w:val="76DD164B"/>
    <w:rsid w:val="7FDF1D81"/>
    <w:rsid w:val="FEBF8A2C"/>
    <w:rsid w:val="FEFFDBC3"/>
    <w:rsid w:val="FFF6E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2021-09-12T10:26:00Z</dcterms:created>
  <dc:creator>杨莉</dc:creator>
  <cp:lastModifiedBy>unis</cp:lastModifiedBy>
  <cp:lastPrinted>2021-10-11T03:04:00Z</cp:lastPrinted>
  <dcterms:modified xsi:type="dcterms:W3CDTF">2021-10-21T15:11:59Z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